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595E" w14:textId="77777777" w:rsidR="007555F7" w:rsidRDefault="007555F7" w:rsidP="007555F7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kern w:val="0"/>
          <w:sz w:val="44"/>
          <w:szCs w:val="44"/>
          <w:u w:color="C559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2A523" wp14:editId="19D5FB78">
                <wp:simplePos x="0" y="0"/>
                <wp:positionH relativeFrom="column">
                  <wp:posOffset>-234315</wp:posOffset>
                </wp:positionH>
                <wp:positionV relativeFrom="paragraph">
                  <wp:posOffset>-249555</wp:posOffset>
                </wp:positionV>
                <wp:extent cx="5908040" cy="720090"/>
                <wp:effectExtent l="4445" t="5080" r="1206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869950" y="954405"/>
                          <a:ext cx="59080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E8CF"/>
                          </a:solidFill>
                          <a:miter lim="800000"/>
                        </a:ln>
                      </wps:spPr>
                      <wps:txbx>
                        <w:txbxContent>
                          <w:p w14:paraId="12E2E821" w14:textId="77777777" w:rsidR="007555F7" w:rsidRDefault="007555F7" w:rsidP="007555F7">
                            <w:pPr>
                              <w:widowControl/>
                              <w:spacing w:beforeLines="20" w:before="62"/>
                              <w:jc w:val="center"/>
                              <w:rPr>
                                <w:rFonts w:ascii="方正小标宋简体" w:eastAsia="方正小标宋简体" w:hAnsi="宋体" w:cs="宋体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cs="宋体" w:hint="eastAsia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  <w:t>中共东莞城市学院语言文化学院总支部委员会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2A52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8.45pt;margin-top:-19.65pt;width:465.2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" strokecolor="#cce8cf">
                <v:textbox>
                  <w:txbxContent>
                    <w:p w14:paraId="12E2E821" w14:textId="77777777" w:rsidR="007555F7" w:rsidRDefault="007555F7" w:rsidP="007555F7">
                      <w:pPr>
                        <w:widowControl/>
                        <w:spacing w:beforeLines="20" w:before="62"/>
                        <w:jc w:val="center"/>
                        <w:rPr>
                          <w:rFonts w:ascii="方正小标宋简体" w:eastAsia="方正小标宋简体" w:hAnsi="宋体" w:cs="宋体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</w:pPr>
                      <w:r>
                        <w:rPr>
                          <w:rFonts w:ascii="方正小标宋简体" w:eastAsia="方正小标宋简体" w:hAnsi="宋体" w:cs="宋体" w:hint="eastAsia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  <w:t>中共东莞城市学院语言文化学院总支部委员会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1990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语言文化学院党总支委员会会议议事规则</w:t>
      </w:r>
      <w:bookmarkEnd w:id="0"/>
    </w:p>
    <w:tbl>
      <w:tblPr>
        <w:tblStyle w:val="a7"/>
        <w:tblpPr w:leftFromText="180" w:rightFromText="180" w:vertAnchor="page" w:horzAnchor="margin" w:tblpX="108" w:tblpY="901"/>
        <w:tblW w:w="8789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89"/>
      </w:tblGrid>
      <w:tr w:rsidR="007555F7" w14:paraId="294C335A" w14:textId="77777777" w:rsidTr="009F4D25">
        <w:trPr>
          <w:trHeight w:val="1438"/>
        </w:trPr>
        <w:tc>
          <w:tcPr>
            <w:tcW w:w="8789" w:type="dxa"/>
            <w:tcBorders>
              <w:top w:val="nil"/>
              <w:left w:val="nil"/>
              <w:bottom w:val="thinThickSmallGap" w:sz="24" w:space="0" w:color="FF0000"/>
              <w:right w:val="nil"/>
            </w:tcBorders>
          </w:tcPr>
          <w:p w14:paraId="1E471DBA" w14:textId="77777777" w:rsidR="007555F7" w:rsidRDefault="007555F7" w:rsidP="009F4D25">
            <w:pPr>
              <w:widowControl/>
              <w:spacing w:beforeLines="50" w:before="156" w:afterLines="100" w:after="312"/>
              <w:ind w:right="112"/>
              <w:jc w:val="left"/>
              <w:rPr>
                <w:rFonts w:ascii="仿宋_GB2312" w:eastAsia="仿宋_GB2312" w:hAnsi="宋体" w:cs="宋体"/>
                <w:spacing w:val="-20"/>
                <w:sz w:val="10"/>
                <w:szCs w:val="10"/>
                <w:u w:color="C55911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10"/>
                <w:szCs w:val="10"/>
                <w:u w:color="C55911"/>
              </w:rPr>
              <w:t xml:space="preserve"> </w:t>
            </w:r>
          </w:p>
        </w:tc>
      </w:tr>
    </w:tbl>
    <w:p w14:paraId="6B5AC1CF" w14:textId="77777777" w:rsidR="007555F7" w:rsidRDefault="007555F7" w:rsidP="007555F7">
      <w:pPr>
        <w:widowControl/>
        <w:spacing w:line="360" w:lineRule="auto"/>
        <w:jc w:val="center"/>
        <w:outlineLvl w:val="0"/>
        <w:rPr>
          <w:rFonts w:ascii="仿宋_GB2312" w:eastAsia="仿宋_GB2312" w:hAnsi="仿宋_GB2312" w:cs="仿宋_GB2312"/>
          <w:sz w:val="28"/>
          <w:szCs w:val="28"/>
        </w:rPr>
      </w:pPr>
      <w:bookmarkStart w:id="1" w:name="_Toc16112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bidi="ar"/>
        </w:rPr>
        <w:t>第一章 总则</w:t>
      </w:r>
      <w:bookmarkEnd w:id="1"/>
    </w:p>
    <w:p w14:paraId="13CA124C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第一条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为进一步健全和完善学院党政领导班子工作机制，推进学院党政领导班子议事决策的规范化、制度化、科学化，根据《中国共产党章程》《中华人民共和国高等教育法》和《中国共产党普通高等学校基层组织工作条例》等法规制度，结合实际，制定本规则。</w:t>
      </w:r>
    </w:p>
    <w:p w14:paraId="4A2C96E5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第二条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学院党政领导班子联席会议(以下简称“党政联席会”)是学院决策机构，学院工作中的重要事项须由党政联席会讨论决定。</w:t>
      </w:r>
    </w:p>
    <w:p w14:paraId="2BA5AC41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第三条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党政联席会议实行民主集中制，坚持集体领导、民主集中、个别酝酿、会议决定的原则。</w:t>
      </w:r>
    </w:p>
    <w:p w14:paraId="0DCE0405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第四条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学院党总支要充分发挥政治核心和监督保障作用，把握好教学科研管理等重大事项中的政治原则、政治立场、政治方向，在干部队伍、教师队伍建设中发挥主导作用，把好政治关。</w:t>
      </w:r>
    </w:p>
    <w:p w14:paraId="337CF574" w14:textId="77777777" w:rsidR="007555F7" w:rsidRDefault="007555F7" w:rsidP="007555F7">
      <w:pPr>
        <w:widowControl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bCs/>
          <w:color w:val="333333"/>
          <w:kern w:val="0"/>
          <w:sz w:val="28"/>
          <w:szCs w:val="28"/>
          <w:lang w:bidi="ar"/>
        </w:rPr>
      </w:pPr>
      <w:bookmarkStart w:id="2" w:name="_Toc10637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bidi="ar"/>
        </w:rPr>
        <w:t>第二章 会议组织</w:t>
      </w:r>
      <w:bookmarkEnd w:id="2"/>
    </w:p>
    <w:p w14:paraId="5BE14179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第五条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党政联席会实行例会制度，会议一般由院长召集和主持,涉及党的建设、干部问题、思想政治教育、群团工作等由书记主持。会议由办公室秘书负责记录、会后形成会议纪要。</w:t>
      </w:r>
    </w:p>
    <w:p w14:paraId="6B99B318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第六条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党政联席会参会人员一般为学院党政联席会议成员，根据议题可适当扩大与会人员范围（列席），扩大的范围由党政主要负责人商定。</w:t>
      </w:r>
    </w:p>
    <w:p w14:paraId="02788E64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第七条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党政联席会须有半数以上领导班子成员参加才能召开。讨论决定需要表决的重要事项时，应有三分之二以上领导班子成员参加，党政主要负责人一般应同时参加。若遇紧急、重大需表决的事项，党政主要负责人一方因客观原因不能参会，参会的党政主要负责人，可在征得另一方同意和充分听取意见的基础上，主持召开会议。</w:t>
      </w:r>
    </w:p>
    <w:p w14:paraId="65FB50BE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lastRenderedPageBreak/>
        <w:t>第八条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因故不能参加会议成员应在会前书面或电话向主持人请假。</w:t>
      </w:r>
    </w:p>
    <w:p w14:paraId="75556EA0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第九条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领导班子成员可根据工作需要提出会议议题，重大事项要提交必要的书面材料上会。会议议题由学院院长和书记商议审定。议题一经审定，应指定工作人员及时通知有关人员，及早做好准备。</w:t>
      </w:r>
    </w:p>
    <w:p w14:paraId="6981ECA7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会前未确定的议题，会上一般不得临时动议。若遇紧急事项需临时动议，须征得半数以上应到会成员同意。</w:t>
      </w:r>
    </w:p>
    <w:p w14:paraId="3860BEAD" w14:textId="77777777" w:rsidR="007555F7" w:rsidRDefault="007555F7" w:rsidP="007555F7">
      <w:pPr>
        <w:widowControl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bCs/>
          <w:color w:val="333333"/>
          <w:kern w:val="0"/>
          <w:sz w:val="28"/>
          <w:szCs w:val="28"/>
          <w:lang w:bidi="ar"/>
        </w:rPr>
      </w:pPr>
      <w:bookmarkStart w:id="3" w:name="_Toc22958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bidi="ar"/>
        </w:rPr>
        <w:t>第三章 议事范围</w:t>
      </w:r>
      <w:bookmarkEnd w:id="3"/>
    </w:p>
    <w:p w14:paraId="727FBDEC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第十一条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党政联席会讨论、决定的主要内容有:</w:t>
      </w:r>
    </w:p>
    <w:p w14:paraId="29A60717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（一）研究贯彻执行党和国家的路线、方针、政策、法律法规，传达落实上级有关工作的重要指示、决定或会议精神，研究制订在学院的具体贯彻落实办法；</w:t>
      </w:r>
    </w:p>
    <w:p w14:paraId="616AB6AD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（二）研究制定学院办学方针、指导思想、学院发展规划、学科与人才队伍建设规划、年度工作计划、重大改革措施和关乎学院全局的规章制度的制定、修订等重大问题；</w:t>
      </w:r>
    </w:p>
    <w:p w14:paraId="55EEE2F6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（三）根据学校的精神，讨论研究学院思想教育工作；讨论决定学院教师队伍建设、学科建设、德育工作、人才培养、科学研究、国际交流、行政管理和考核等方面的重要事项；</w:t>
      </w:r>
    </w:p>
    <w:p w14:paraId="4885E895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（四）研究学院学生的思想政治教育、素质教育、日常管理以及招生、就业等工作；</w:t>
      </w:r>
    </w:p>
    <w:p w14:paraId="54388793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（五）研究决定其他关系维护学院的改革、发展的重大事项，讨论重大突发事件的处理意见；</w:t>
      </w:r>
    </w:p>
    <w:p w14:paraId="17B5FE60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（六）其他需提交学院党政联席会讨论决定的事项。</w:t>
      </w:r>
    </w:p>
    <w:p w14:paraId="3BEC78E6" w14:textId="77777777" w:rsidR="007555F7" w:rsidRDefault="007555F7" w:rsidP="007555F7">
      <w:pPr>
        <w:widowControl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bCs/>
          <w:color w:val="333333"/>
          <w:kern w:val="0"/>
          <w:sz w:val="28"/>
          <w:szCs w:val="28"/>
          <w:lang w:bidi="ar"/>
        </w:rPr>
      </w:pPr>
      <w:bookmarkStart w:id="4" w:name="_Toc14864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bidi="ar"/>
        </w:rPr>
        <w:t>第四章 议事程序</w:t>
      </w:r>
      <w:bookmarkEnd w:id="4"/>
    </w:p>
    <w:p w14:paraId="79E6E917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第十二条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议事程序与纪律要求：</w:t>
      </w:r>
    </w:p>
    <w:p w14:paraId="2A8919E2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（一）党政主要负责人对提出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拟研究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的议题及工作方案在会前应充分沟通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酝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酿，形成基本共识后上会，不能取得共识的可暂缓上会。尤其涉及本单位重大决策、重大项目安排和重要事项，相关工作方案应在会前经院长、书记共同审阅同意才能列入议题。</w:t>
      </w:r>
    </w:p>
    <w:p w14:paraId="68B2B6C2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（二）会议讨论决策时，主持人应按照民主集中制的原则，在广泛听取与会人员意见的基础上，按照少数服从多数的原则，对讨论研究的事项做出决定，主持人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lastRenderedPageBreak/>
        <w:t>应末位表态。若与会人员对重要事项的讨论出现较大意见分歧，应暂缓做出决定，待进一步调研、论证、充分协商后再讨论决定，但应有明确的说明。</w:t>
      </w:r>
    </w:p>
    <w:p w14:paraId="2B1A3181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(三) 会议进行表决时，赞成票超过应到会领导班子成员人数的半数为通过。表决可以采取口头表决、举手表决、无记名投票等方式，未到会人员的书面意见不能计入票数。列席会议的人员，有发言权，没有表决权。会议决定多个事项,应当逐项表决。</w:t>
      </w:r>
    </w:p>
    <w:p w14:paraId="26E9F376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(四) 党政联席会研究决定人事、职称及奖惩等事项时涉及与会人员本人及其配偶、子女、亲属或其他利益相关方的，应主动回避，主持人有责任予以提醒。</w:t>
      </w:r>
    </w:p>
    <w:p w14:paraId="782DC849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(五) 会议的议题、讨论内容和决定事项，在按规定程序公布之前，与会人员应严守保密纪律，不得以任何形式对外泄露。</w:t>
      </w:r>
    </w:p>
    <w:p w14:paraId="0F69913B" w14:textId="77777777" w:rsidR="007555F7" w:rsidRDefault="007555F7" w:rsidP="007555F7">
      <w:pPr>
        <w:widowControl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bCs/>
          <w:color w:val="333333"/>
          <w:kern w:val="0"/>
          <w:sz w:val="28"/>
          <w:szCs w:val="28"/>
          <w:lang w:bidi="ar"/>
        </w:rPr>
      </w:pPr>
      <w:bookmarkStart w:id="5" w:name="_Toc17543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bidi="ar"/>
        </w:rPr>
        <w:t>第五章 议定事宜的落实与督办</w:t>
      </w:r>
      <w:bookmarkEnd w:id="5"/>
    </w:p>
    <w:p w14:paraId="5FF54FE2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第十三条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凡经党政联席会研究做出的决定，领导班子成员应按职责分工认真贯彻执行，有不同意见的可以保留或向上级组织反映，但在本级组织或上级组织未做出改变之前应无条件执行。领导班子成员不遵守、不执行党政联席会的决定，或未能按照决定和分工履行自己的职责，给工作造成影响的，应当追究责任。</w:t>
      </w:r>
    </w:p>
    <w:p w14:paraId="61068DEE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第十四条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在执行过程中，按照下级服从上级、局部服从整体的原则，分管院领导要及时向正职汇报请示，正职要支持副职开展工作、协调解决出现的困难和问题。如遇到新的情况确实不能按原决定执行时，应及时提交党政联席会复议，在特殊情况下，也可由院长或书记征得党政联席会多数成员同意后作出适当调整，但应提交下次会议认可。</w:t>
      </w:r>
    </w:p>
    <w:p w14:paraId="537FD4D4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第十五条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在个别领导班子成员缺席会议情况下讨论决定的问题，应由会议主持人在会后及时向缺席会议的成员通报。对于应当经党政联席会讨论决定的事项，如遇紧急情况，来不及召开党政联席会或征求班子其他成员意见时，院长和书记商议后可以做出紧急决定，但事后应及时向班子其他成员通报。</w:t>
      </w:r>
    </w:p>
    <w:p w14:paraId="6A149C09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第十六条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党政联席会议要指定工作人员准确、全面地形成会议纪要，由主持人审定，经党政主要负责人共同签字后印发领导班子成员及有关人员，作为开展工作和处理事务的依据。会议纪要，要及时存档备查。</w:t>
      </w:r>
    </w:p>
    <w:p w14:paraId="33B2E900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第十七条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 xml:space="preserve"> 党政联席会决定的事项，除按相关规定需要保密的以外，应以会议纪要的方式在一定范围内通报接受群众监督。</w:t>
      </w:r>
    </w:p>
    <w:p w14:paraId="71A175C5" w14:textId="77777777" w:rsidR="007555F7" w:rsidRDefault="007555F7" w:rsidP="007555F7">
      <w:pPr>
        <w:widowControl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bCs/>
          <w:color w:val="333333"/>
          <w:kern w:val="0"/>
          <w:sz w:val="28"/>
          <w:szCs w:val="28"/>
          <w:lang w:bidi="ar"/>
        </w:rPr>
      </w:pPr>
      <w:bookmarkStart w:id="6" w:name="_Toc26751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bidi="ar"/>
        </w:rPr>
        <w:lastRenderedPageBreak/>
        <w:t>第六章 附则</w:t>
      </w:r>
      <w:bookmarkEnd w:id="6"/>
    </w:p>
    <w:p w14:paraId="5A2FFF6D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b/>
          <w:bCs/>
          <w:color w:val="333333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lang w:bidi="ar"/>
        </w:rPr>
        <w:t>第十八条</w:t>
      </w:r>
    </w:p>
    <w:p w14:paraId="7E66D1FC" w14:textId="77777777" w:rsidR="007555F7" w:rsidRDefault="007555F7" w:rsidP="007555F7">
      <w:pPr>
        <w:widowControl/>
        <w:spacing w:line="360" w:lineRule="auto"/>
        <w:rPr>
          <w:rFonts w:ascii="仿宋_GB2312" w:eastAsia="仿宋_GB2312" w:hAnsi="仿宋_GB2312" w:cs="仿宋_GB2312"/>
          <w:color w:val="333333"/>
          <w:kern w:val="0"/>
          <w:sz w:val="24"/>
          <w:lang w:bidi="ar"/>
        </w:rPr>
        <w:sectPr w:rsidR="007555F7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lang w:bidi="ar"/>
        </w:rPr>
        <w:t>本规则由学院党政联席会议负责解释。</w:t>
      </w:r>
    </w:p>
    <w:p w14:paraId="762B1F68" w14:textId="6D8429D9" w:rsidR="00D00DC4" w:rsidRPr="007555F7" w:rsidRDefault="00D00DC4" w:rsidP="007555F7"/>
    <w:sectPr w:rsidR="00D00DC4" w:rsidRPr="0075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71E2" w14:textId="77777777" w:rsidR="00142B51" w:rsidRDefault="00142B51" w:rsidP="0060529B">
      <w:r>
        <w:separator/>
      </w:r>
    </w:p>
  </w:endnote>
  <w:endnote w:type="continuationSeparator" w:id="0">
    <w:p w14:paraId="3220AC63" w14:textId="77777777" w:rsidR="00142B51" w:rsidRDefault="00142B51" w:rsidP="0060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7541" w14:textId="77777777" w:rsidR="007555F7" w:rsidRDefault="007555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1F30E" wp14:editId="55063A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CF692" w14:textId="77777777" w:rsidR="007555F7" w:rsidRDefault="007555F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1F30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11CF692" w14:textId="77777777" w:rsidR="007555F7" w:rsidRDefault="007555F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47C3" w14:textId="77777777" w:rsidR="00142B51" w:rsidRDefault="00142B51" w:rsidP="0060529B">
      <w:r>
        <w:separator/>
      </w:r>
    </w:p>
  </w:footnote>
  <w:footnote w:type="continuationSeparator" w:id="0">
    <w:p w14:paraId="01EA07D0" w14:textId="77777777" w:rsidR="00142B51" w:rsidRDefault="00142B51" w:rsidP="0060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E0"/>
    <w:rsid w:val="00142B51"/>
    <w:rsid w:val="00245861"/>
    <w:rsid w:val="004E0FA8"/>
    <w:rsid w:val="005F6EE0"/>
    <w:rsid w:val="0060529B"/>
    <w:rsid w:val="007555F7"/>
    <w:rsid w:val="00BC32A9"/>
    <w:rsid w:val="00D0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B38F1"/>
  <w15:chartTrackingRefBased/>
  <w15:docId w15:val="{B666AA77-619C-4631-A0E5-BE937E90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2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29B"/>
    <w:rPr>
      <w:sz w:val="18"/>
      <w:szCs w:val="18"/>
    </w:rPr>
  </w:style>
  <w:style w:type="paragraph" w:styleId="a5">
    <w:name w:val="footer"/>
    <w:basedOn w:val="a"/>
    <w:link w:val="a6"/>
    <w:unhideWhenUsed/>
    <w:rsid w:val="00605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29B"/>
    <w:rPr>
      <w:sz w:val="18"/>
      <w:szCs w:val="18"/>
    </w:rPr>
  </w:style>
  <w:style w:type="table" w:styleId="a7">
    <w:name w:val="Table Grid"/>
    <w:uiPriority w:val="59"/>
    <w:qFormat/>
    <w:rsid w:val="007555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隆星 聂</dc:creator>
  <cp:keywords/>
  <dc:description/>
  <cp:lastModifiedBy>关 飞</cp:lastModifiedBy>
  <cp:revision>3</cp:revision>
  <dcterms:created xsi:type="dcterms:W3CDTF">2024-10-18T08:36:00Z</dcterms:created>
  <dcterms:modified xsi:type="dcterms:W3CDTF">2024-11-22T02:44:00Z</dcterms:modified>
</cp:coreProperties>
</file>